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9C6B" w14:textId="77777777" w:rsidR="00A32649" w:rsidRPr="00A32649" w:rsidRDefault="00C679DE" w:rsidP="00A3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</w:t>
      </w:r>
    </w:p>
    <w:p w14:paraId="6EBF79BA" w14:textId="77777777" w:rsidR="00A32649" w:rsidRPr="00A32649" w:rsidRDefault="00C679DE" w:rsidP="00A3264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81"/>
        <w:gridCol w:w="2405"/>
      </w:tblGrid>
      <w:tr w:rsidR="00790610" w14:paraId="215E268A" w14:textId="77777777" w:rsidTr="00A3264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ADD200" w14:textId="77777777" w:rsidR="00A32649" w:rsidRPr="00A32649" w:rsidRDefault="00C679DE" w:rsidP="00A3264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790610" w14:paraId="1DF42E1A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93C1F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844FBE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Public Joint Stock Company "Interregional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Distribution Grid Company of the South”</w:t>
            </w:r>
          </w:p>
        </w:tc>
      </w:tr>
      <w:tr w:rsidR="00790610" w14:paraId="2CC13DCE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95B82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86FAF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790610" w14:paraId="6425973D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6CC847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4C075C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Russian Federation,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C33DC6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</w:t>
            </w:r>
          </w:p>
        </w:tc>
      </w:tr>
      <w:tr w:rsidR="00790610" w14:paraId="78382DC7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27F5DA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0F54E2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790610" w14:paraId="626958DA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4116AB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0F5CD6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790610" w14:paraId="7288AD1B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829E99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B5A00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790610" w14:paraId="6D0A683F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65CF70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D39B15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326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http//www.mrsk-yu2a.ru</w:t>
              </w:r>
            </w:hyperlink>
          </w:p>
          <w:p w14:paraId="3CF15297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326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http://www.e-</w:t>
              </w:r>
            </w:hyperlink>
          </w:p>
          <w:p w14:paraId="10FA4A8B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A326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790610" w14:paraId="528E80AB" w14:textId="77777777" w:rsidTr="00A3264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E2A1A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212F8" w14:textId="77777777" w:rsidR="00A32649" w:rsidRPr="00A32649" w:rsidRDefault="00C679DE" w:rsidP="00A3264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October 15, 2018</w:t>
            </w:r>
          </w:p>
        </w:tc>
      </w:tr>
      <w:tr w:rsidR="00790610" w14:paraId="382D39E1" w14:textId="77777777" w:rsidTr="00A3264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EB1263" w14:textId="77777777" w:rsidR="00A32649" w:rsidRPr="00A32649" w:rsidRDefault="00C679DE" w:rsidP="00A3264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790610" w14:paraId="69FC6F81" w14:textId="77777777" w:rsidTr="00A3264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124561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meeting, a quorum is present.</w:t>
            </w:r>
          </w:p>
        </w:tc>
      </w:tr>
      <w:tr w:rsidR="00790610" w14:paraId="3205C403" w14:textId="77777777" w:rsidTr="00A32649">
        <w:trPr>
          <w:trHeight w:val="2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9CD4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on issue No. 1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of the agenda:</w:t>
            </w:r>
          </w:p>
          <w:p w14:paraId="26E33940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7618039E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"CON" is 0 votes;</w:t>
            </w:r>
          </w:p>
          <w:p w14:paraId="124FCD85" w14:textId="77777777" w:rsid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0 votes; </w:t>
            </w:r>
          </w:p>
          <w:p w14:paraId="1A8C2A61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2 of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14:paraId="0E429486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1 member of the Board of Directors did not take part in voting; </w:t>
            </w:r>
          </w:p>
          <w:p w14:paraId="2B487E85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14:paraId="172A83BE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"CON" is 0 votes;</w:t>
            </w:r>
          </w:p>
          <w:p w14:paraId="550CD82E" w14:textId="77777777" w:rsid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0 votes; </w:t>
            </w:r>
          </w:p>
          <w:p w14:paraId="68CE337A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3 of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14:paraId="4999B632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14:paraId="28EF8511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"CON" is 0 votes;</w:t>
            </w:r>
          </w:p>
          <w:p w14:paraId="07D09C0B" w14:textId="77777777" w:rsid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1 vote; </w:t>
            </w:r>
          </w:p>
          <w:p w14:paraId="68FF14AE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4 of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14:paraId="1CC94A61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9 votes;</w:t>
            </w:r>
          </w:p>
          <w:p w14:paraId="713725AE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"CON" is 0 votes;</w:t>
            </w:r>
          </w:p>
          <w:p w14:paraId="6BAD781F" w14:textId="77777777" w:rsid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2 votes; </w:t>
            </w:r>
          </w:p>
          <w:p w14:paraId="78E63D76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5 of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14:paraId="33D0CFFA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6CC78A40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"CON" is 0 votes;</w:t>
            </w:r>
          </w:p>
          <w:p w14:paraId="3E0FB0B0" w14:textId="77777777" w:rsid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 votes;</w:t>
            </w:r>
          </w:p>
          <w:p w14:paraId="7AFA1817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on issue No. 6 of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14:paraId="677B277C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7AA6A712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"CON" is 0 votes;</w:t>
            </w:r>
          </w:p>
          <w:p w14:paraId="66645460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 votes.</w:t>
            </w:r>
          </w:p>
        </w:tc>
      </w:tr>
    </w:tbl>
    <w:p w14:paraId="223D7877" w14:textId="77777777" w:rsidR="00A32649" w:rsidRDefault="00C679DE"/>
    <w:p w14:paraId="2B432AC0" w14:textId="77777777" w:rsidR="00A32649" w:rsidRDefault="00C679DE">
      <w: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90610" w14:paraId="4B2B424E" w14:textId="77777777" w:rsidTr="00A32649">
        <w:trPr>
          <w:trHeight w:val="276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CBC019" w14:textId="77777777" w:rsid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lastRenderedPageBreak/>
              <w:t xml:space="preserve">Insider information disclosure on issue No. 1: "On approval of the Credit </w:t>
            </w:r>
          </w:p>
          <w:p w14:paraId="05954957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Plan of IDGC of the South, PJSC for the Q4 2018".</w:t>
            </w:r>
          </w:p>
        </w:tc>
      </w:tr>
      <w:tr w:rsidR="00790610" w14:paraId="4C132E09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9B90E9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10" w14:paraId="5168572A" w14:textId="77777777" w:rsidTr="00A32649">
        <w:trPr>
          <w:trHeight w:val="276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9DE9F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2.2.1.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Resolution content adopted by the Issuer's Board of Directors:</w:t>
            </w:r>
          </w:p>
          <w:p w14:paraId="3F3E3AF3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Loan Plan of IDGC of the South, PJSC for the Q4 2018 in accordance with Annex No. 4 to this resolution of the Company's Board of Directors.</w:t>
            </w:r>
          </w:p>
        </w:tc>
      </w:tr>
      <w:tr w:rsidR="00790610" w14:paraId="26901AE6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4CCC3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10" w14:paraId="10B4765C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4BD07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10" w14:paraId="33A7310D" w14:textId="77777777" w:rsidTr="00A32649">
        <w:trPr>
          <w:trHeight w:val="276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2D5F77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Insider information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disclosure on issue No. 2: "On recommendations to the executive bodies of the Company on conclusion of Compensation Agreements</w:t>
            </w:r>
          </w:p>
          <w:p w14:paraId="45B45ED7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(monetary and property form)."</w:t>
            </w:r>
          </w:p>
        </w:tc>
      </w:tr>
      <w:tr w:rsidR="00790610" w14:paraId="2EAD15F1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119C7C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10" w14:paraId="68DC46BB" w14:textId="77777777" w:rsidTr="00A32649">
        <w:trPr>
          <w:trHeight w:val="264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F90AC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2.2.2. Resolution content adopted by the Issuer's Board of Directors:</w:t>
            </w:r>
          </w:p>
          <w:p w14:paraId="58CDF352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Recommend that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Company's single executive body conclude:</w:t>
            </w:r>
          </w:p>
          <w:p w14:paraId="6FFC6CA6" w14:textId="77777777" w:rsidR="00A32649" w:rsidRPr="00A32649" w:rsidRDefault="00C679DE" w:rsidP="00A32649">
            <w:pPr>
              <w:numPr>
                <w:ilvl w:val="1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Agreement on compensation (monetary form) between IDGC of the South, PJSC and the Committee for Transport and Road Facilities of the Volgograd Region and Volgogradavtodor State Budgetary Institution of the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Volgograd Region in accordance with Annex 2 to this Resolution of the Board of Directors of IDGC of the South, PJSC.</w:t>
            </w:r>
          </w:p>
          <w:p w14:paraId="41E110AB" w14:textId="77777777" w:rsidR="00A32649" w:rsidRPr="00A32649" w:rsidRDefault="00C679DE" w:rsidP="00A32649">
            <w:pPr>
              <w:numPr>
                <w:ilvl w:val="1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Agreement on compensation (monetary form) between IDGC of the South, PJSC and the Committee for Transport and Road Facilities of Volgograd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Region and Limited Liability Company "SC VOLGODON" according to the Annex No. 3 to this resolution of the Board of Directors of IDGC of the South, PJSC.</w:t>
            </w:r>
          </w:p>
          <w:p w14:paraId="72494D67" w14:textId="77777777" w:rsidR="00A32649" w:rsidRPr="00A32649" w:rsidRDefault="00C679DE" w:rsidP="00A32649">
            <w:pPr>
              <w:numPr>
                <w:ilvl w:val="1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Agreement on compensation (monetary form) between IDGC of the South, PJSC and the Committee for Transpo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rt and Road Facilities of Volgograd Region and Limited Liability Company "Granit" in accordance with Annex No. 4 to this resolution of the Board of Directors of IDGC of the South, PJSC.</w:t>
            </w:r>
          </w:p>
          <w:p w14:paraId="012B6E18" w14:textId="77777777" w:rsidR="00A32649" w:rsidRPr="00A32649" w:rsidRDefault="00C679DE" w:rsidP="00A32649">
            <w:pPr>
              <w:numPr>
                <w:ilvl w:val="1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Agreement on compensation (monetary form) between IDGC of the South, P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JSC and the Committee for Transport and Road Facilities of Volgograd Region and Limited Liability Company "Stroygarant" according to the Annex No. 5 to this resolution of the Board of Directors of IDGC of the South, PJSC.</w:t>
            </w:r>
          </w:p>
          <w:p w14:paraId="7A2B43FD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Instruct the single executive body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of the Company to submit a report to the Board of Directors on the results of contract execution.</w:t>
            </w:r>
          </w:p>
        </w:tc>
      </w:tr>
      <w:tr w:rsidR="00790610" w14:paraId="3CD4C787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2690B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317F7A47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75B89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6AE67F40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82B1AA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283A9FAA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CB8CF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21B597D7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BF4A7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5A25289B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EDF9B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607B283C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93A058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351083B3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35E96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70E20EF1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993062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3DA98A4B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4309C" w14:textId="77777777" w:rsidR="00A32649" w:rsidRPr="00A32649" w:rsidRDefault="00C679DE" w:rsidP="00A326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0F6547BF" w14:textId="77777777" w:rsidTr="00A32649">
        <w:trPr>
          <w:trHeight w:val="276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2B2CE0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Insider information disclosure on issue No. 3: "On implementation by the single executive body of the Company in the Q2 2018 of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resolutions adopted at meetings of the Company's Board of Directors".</w:t>
            </w:r>
          </w:p>
        </w:tc>
      </w:tr>
      <w:tr w:rsidR="00790610" w14:paraId="732977FA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7E30F8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10" w14:paraId="193254C1" w14:textId="77777777" w:rsidTr="00A32649">
        <w:trPr>
          <w:trHeight w:val="264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CA284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2.2.3. Resolution content adopted by the Issuer's Board of Directors:</w:t>
            </w:r>
          </w:p>
          <w:p w14:paraId="49235C9F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Take note of the report on the implementation by the single executive body of the Company in Q2 2018 of resolutio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ns adopted at meetings of the Company's Board of Directors in accordance with Annex No. 6 hereto.</w:t>
            </w:r>
          </w:p>
          <w:p w14:paraId="6CA52237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Entrust the Single Executive Body of the Company with:</w:t>
            </w:r>
          </w:p>
          <w:p w14:paraId="161E8BBF" w14:textId="77777777" w:rsidR="00A32649" w:rsidRPr="00A32649" w:rsidRDefault="00C679DE" w:rsidP="00A32649">
            <w:pPr>
              <w:numPr>
                <w:ilvl w:val="1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Ensure strict compliance with Resolution No. 1352 of the Government of the Russian Federation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dated December 11, 2014 in terms of payment terms under contracts concluded with small and medium-sized businesses.</w:t>
            </w:r>
          </w:p>
          <w:p w14:paraId="2CE3EA4A" w14:textId="77777777" w:rsidR="00A32649" w:rsidRPr="00A32649" w:rsidRDefault="00C679DE" w:rsidP="00A32649">
            <w:pPr>
              <w:numPr>
                <w:ilvl w:val="1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Provide within the report on the implementation in the Q3 2018 of the resolutions made at the meetings of the Company's Board of Directors,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information on measures taken to ensure timely payment for contracts concluded with small and medium-sized businesses.</w:t>
            </w:r>
          </w:p>
          <w:p w14:paraId="3E9FF2CC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Annul the resolution of the Company's Board of Directors dated February 12, 2018 (Minutes No. 260/2018 dated February 14, 2018) in the pa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rt of clause 260/2018. 2.2 on item 5 "On approval of target programs on production activity of IDGC of the South, PJSC for 2018-2022".</w:t>
            </w:r>
          </w:p>
        </w:tc>
      </w:tr>
      <w:tr w:rsidR="00790610" w14:paraId="42B4D16B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EA1F05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08D3C92F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2BE1A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2185DA82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D9CC77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07E47D7D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1C6892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43F0A468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ECCB8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09EF1CD3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E00366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4889AC17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318A0C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48EFD5A1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9BD2B8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3314041F" w14:textId="77777777" w:rsidTr="00A32649">
        <w:trPr>
          <w:trHeight w:val="264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353D6" w14:textId="77777777" w:rsidR="00A32649" w:rsidRPr="00A32649" w:rsidRDefault="00C679DE" w:rsidP="00A32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610" w14:paraId="65644FF6" w14:textId="77777777" w:rsidTr="00A32649">
        <w:trPr>
          <w:trHeight w:val="276"/>
        </w:trPr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EEE8C3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approval of the issuer's internal documents/Insider information disclosure on issue No. 4: "On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approval of the Information Technology, Automation and Telecommunications Policy".</w:t>
            </w:r>
          </w:p>
        </w:tc>
      </w:tr>
      <w:tr w:rsidR="00790610" w14:paraId="7D0F0F1F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5C8960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10" w14:paraId="10A60B10" w14:textId="77777777" w:rsidTr="00A32649">
        <w:trPr>
          <w:trHeight w:val="276"/>
        </w:trPr>
        <w:tc>
          <w:tcPr>
            <w:tcW w:w="9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42401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033057" w14:textId="77777777" w:rsidR="00A32649" w:rsidRDefault="00C679DE"/>
    <w:p w14:paraId="0E62570B" w14:textId="77777777" w:rsidR="00A32649" w:rsidRDefault="00C679DE">
      <w: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8"/>
        <w:gridCol w:w="1440"/>
        <w:gridCol w:w="2534"/>
      </w:tblGrid>
      <w:tr w:rsidR="00790610" w14:paraId="03988E5B" w14:textId="77777777" w:rsidTr="00A32649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B207E0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2.2.4. Resolution content adopted by the Issuer's Board of Directors:</w:t>
            </w:r>
          </w:p>
          <w:p w14:paraId="61E51622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Approve the Policy of Rosseti, PJSC in the field of information technologies,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automation and telecommunications as an internal document of the Company according to Annex 7 to this resolution of the Company's Board of Directors.</w:t>
            </w:r>
          </w:p>
          <w:p w14:paraId="2C8EF6A3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Annul the resolution of the Company's Board of Directors dated July 27, 2012 (Minutes No. 92/2012 dated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July 30, 2012) on issue No. 12, with amendments adopted by the Board of Directors on November 21, 2014 (Minutes No. 147/2014 dated November 24, 2014) on issue No. 2.</w:t>
            </w:r>
          </w:p>
        </w:tc>
      </w:tr>
      <w:tr w:rsidR="00790610" w14:paraId="40A425FF" w14:textId="77777777" w:rsidTr="00A32649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99E2F2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Insider information disclosure on issue No. 5: "On consideration of the report on the ex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ecution of the Company's business plan for the first half of 2018".</w:t>
            </w:r>
          </w:p>
        </w:tc>
      </w:tr>
      <w:tr w:rsidR="00790610" w14:paraId="2DD75DDB" w14:textId="77777777" w:rsidTr="00A32649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52776F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2.2.5. Resolution content adopted by the Issuer's Board of Directors:</w:t>
            </w:r>
          </w:p>
          <w:p w14:paraId="1ABCC853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Take into consideration the report on execution of the business plan of IDGC of the South, PJSC for the first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half of 2018 according to Annex No. 8 to this resolution of the Company's Board of Directors.</w:t>
            </w:r>
          </w:p>
          <w:p w14:paraId="575DDA50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Note on the results of the Company's work for the first half of 2018 the failure to meet the planned level of electric power losses in the branch "Volgogradene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rgo" (plan - 8.59% to supply electric power to the grid, in fact - 9.06% to supply electric power to the grid).</w:t>
            </w:r>
          </w:p>
          <w:p w14:paraId="468D17D0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 Instruct the Single Executive Body of IDGC of the South, PJSC to ensure unconditional performance of the planned indicator of relative value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losses of electric power to the grid following the results of work for 2018.</w:t>
            </w:r>
          </w:p>
        </w:tc>
      </w:tr>
      <w:tr w:rsidR="00790610" w14:paraId="5774EEB7" w14:textId="77777777" w:rsidTr="00A32649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8657D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Insider information disclosure on issue No. 6: "On approval of the report on the results of the Company's investment program for the first half of</w:t>
            </w:r>
          </w:p>
          <w:p w14:paraId="209A3877" w14:textId="77777777" w:rsidR="00A32649" w:rsidRPr="00A32649" w:rsidRDefault="00C679DE" w:rsidP="00A3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2018."</w:t>
            </w:r>
          </w:p>
        </w:tc>
      </w:tr>
      <w:tr w:rsidR="00790610" w14:paraId="74F09D0D" w14:textId="77777777" w:rsidTr="00A32649">
        <w:trPr>
          <w:trHeight w:val="1645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F6D93E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2.2.6.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Resolution content adopted by the Issuer's Board of Directors:</w:t>
            </w:r>
          </w:p>
          <w:p w14:paraId="07F8F58B" w14:textId="77777777" w:rsidR="00A32649" w:rsidRPr="00A32649" w:rsidRDefault="00C679DE" w:rsidP="00A326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Take into consideration the report on the results of implementation of the Company's investment program for the first half of 2018, the report on the acquisition of power industry facilities, a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pproval of which is not required by the Board of Directors, and on compliance of the completed transaction with the Criteria for decision-making on projects of consolidation of power grid assets for the second quarter of 2018 in accordance with Annexes 9,1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 to this resolution of the Company's Board of Directors.</w:t>
            </w:r>
          </w:p>
        </w:tc>
      </w:tr>
      <w:tr w:rsidR="00790610" w14:paraId="0F07268D" w14:textId="77777777" w:rsidTr="00A32649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C5E778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2.3. Date of the meeting of the Issuer's Board of Directors at which the relevant resolutions were adopted: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10, 2018.</w:t>
            </w:r>
          </w:p>
          <w:p w14:paraId="3C4DC83A" w14:textId="77777777" w:rsidR="00A32649" w:rsidRPr="00A32649" w:rsidRDefault="00C679DE" w:rsidP="00A3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2.4. Date and number of the minutes of the meeting of the Issuer's Board of Directors at which the relevant resolutions were adopted: </w:t>
            </w:r>
            <w:r w:rsidRPr="00A32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15, 2018, Minutes No. 289/2018.</w:t>
            </w:r>
          </w:p>
        </w:tc>
      </w:tr>
      <w:tr w:rsidR="00790610" w14:paraId="68864ADB" w14:textId="77777777" w:rsidTr="00A32649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5E9BA8" w14:textId="77777777" w:rsidR="00A32649" w:rsidRPr="00A32649" w:rsidRDefault="00C679DE" w:rsidP="00A3264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790610" w14:paraId="47918E84" w14:textId="77777777" w:rsidTr="00A32649">
        <w:trPr>
          <w:trHeight w:val="525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F290B3" w14:textId="77777777" w:rsidR="00A32649" w:rsidRPr="00A32649" w:rsidRDefault="00C679DE" w:rsidP="00A3264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A5CE0A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DE1327" w14:textId="77777777" w:rsidR="00A32649" w:rsidRPr="00A32649" w:rsidRDefault="00C679DE" w:rsidP="00A3264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790610" w14:paraId="540C3FAC" w14:textId="77777777" w:rsidTr="00A32649">
        <w:trPr>
          <w:trHeight w:val="20"/>
        </w:trPr>
        <w:tc>
          <w:tcPr>
            <w:tcW w:w="5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154581" w14:textId="77777777" w:rsidR="00A32649" w:rsidRPr="00A32649" w:rsidRDefault="00C679DE" w:rsidP="00A32649">
            <w:pPr>
              <w:spacing w:after="0" w:line="23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Secretary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840C0" w14:textId="77777777" w:rsidR="00A32649" w:rsidRPr="00A32649" w:rsidRDefault="00C679DE" w:rsidP="00A3264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78EC40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90610" w14:paraId="2BB7D1FD" w14:textId="77777777" w:rsidTr="00A32649">
        <w:trPr>
          <w:trHeight w:val="276"/>
        </w:trPr>
        <w:tc>
          <w:tcPr>
            <w:tcW w:w="5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37CF4" w14:textId="77777777" w:rsidR="00A32649" w:rsidRDefault="00C679DE" w:rsidP="00A32649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(under power of attorney No. 103-18 on behalf of January 10, 2018) 3.2. </w:t>
            </w:r>
          </w:p>
          <w:p w14:paraId="3C0D83D1" w14:textId="77777777" w:rsidR="00A32649" w:rsidRPr="00A32649" w:rsidRDefault="00C679DE" w:rsidP="00A3264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October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15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6C768" w14:textId="2F71F01C" w:rsidR="00A32649" w:rsidRPr="00A32649" w:rsidRDefault="00C679DE" w:rsidP="00A3264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A32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9CE2DB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90610" w14:paraId="0B15D6F7" w14:textId="77777777" w:rsidTr="00A32649">
        <w:trPr>
          <w:trHeight w:val="115"/>
        </w:trPr>
        <w:tc>
          <w:tcPr>
            <w:tcW w:w="5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FF9600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2A5597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268A8" w14:textId="77777777" w:rsidR="00A32649" w:rsidRPr="00A32649" w:rsidRDefault="00C679DE" w:rsidP="00A3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5FE484B7" w14:textId="77777777" w:rsidR="005C7C9E" w:rsidRDefault="00C679DE"/>
    <w:sectPr w:rsidR="005C7C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5CA7" w14:textId="77777777" w:rsidR="00000000" w:rsidRDefault="00C679DE">
      <w:pPr>
        <w:spacing w:after="0" w:line="240" w:lineRule="auto"/>
      </w:pPr>
      <w:r>
        <w:separator/>
      </w:r>
    </w:p>
  </w:endnote>
  <w:endnote w:type="continuationSeparator" w:id="0">
    <w:p w14:paraId="7298B2ED" w14:textId="77777777" w:rsidR="00000000" w:rsidRDefault="00C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4927" w14:textId="77777777" w:rsidR="00000000" w:rsidRDefault="00C679DE">
      <w:pPr>
        <w:spacing w:after="0" w:line="240" w:lineRule="auto"/>
      </w:pPr>
      <w:r>
        <w:separator/>
      </w:r>
    </w:p>
  </w:footnote>
  <w:footnote w:type="continuationSeparator" w:id="0">
    <w:p w14:paraId="7298C79B" w14:textId="77777777" w:rsidR="00000000" w:rsidRDefault="00C6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783E" w14:textId="77777777" w:rsidR="00A32649" w:rsidRPr="00A32649" w:rsidRDefault="00C679DE" w:rsidP="00A32649">
    <w:pPr>
      <w:pStyle w:val="a3"/>
      <w:jc w:val="right"/>
      <w:rPr>
        <w:rFonts w:ascii="Times New Roman" w:hAnsi="Times New Roman" w:cs="Times New Roman"/>
        <w:lang w:val="en-US"/>
      </w:rPr>
    </w:pPr>
    <w:r w:rsidRPr="00A32649">
      <w:rPr>
        <w:rFonts w:ascii="Times New Roman" w:hAnsi="Times New Roman" w:cs="Times New Roman"/>
        <w:lang w:val="en-US"/>
      </w:rPr>
      <w:fldChar w:fldCharType="begin"/>
    </w:r>
    <w:r w:rsidRPr="00A32649">
      <w:rPr>
        <w:rFonts w:ascii="Times New Roman" w:hAnsi="Times New Roman" w:cs="Times New Roman"/>
        <w:lang w:val="en-US"/>
      </w:rPr>
      <w:instrText>PAGE   \* MERGEFORMAT</w:instrText>
    </w:r>
    <w:r w:rsidRPr="00A32649">
      <w:rPr>
        <w:rFonts w:ascii="Times New Roman" w:hAnsi="Times New Roman" w:cs="Times New Roman"/>
        <w:lang w:val="en-US"/>
      </w:rPr>
      <w:fldChar w:fldCharType="separate"/>
    </w:r>
    <w:r>
      <w:rPr>
        <w:rFonts w:ascii="Times New Roman" w:hAnsi="Times New Roman" w:cs="Times New Roman"/>
        <w:noProof/>
        <w:lang w:val="en-US"/>
      </w:rPr>
      <w:t>3</w:t>
    </w:r>
    <w:r w:rsidRPr="00A32649">
      <w:rPr>
        <w:rFonts w:ascii="Times New Roman" w:hAnsi="Times New Roman" w:cs="Times New Roman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10"/>
    <w:rsid w:val="00790610"/>
    <w:rsid w:val="00C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E9EE"/>
  <w15:docId w15:val="{06905620-1A9D-448F-93DB-30D6EC7E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649"/>
  </w:style>
  <w:style w:type="paragraph" w:styleId="a5">
    <w:name w:val="footer"/>
    <w:basedOn w:val="a"/>
    <w:link w:val="a6"/>
    <w:uiPriority w:val="99"/>
    <w:unhideWhenUsed/>
    <w:rsid w:val="00A3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649"/>
  </w:style>
  <w:style w:type="paragraph" w:styleId="a7">
    <w:name w:val="List Paragraph"/>
    <w:basedOn w:val="a"/>
    <w:uiPriority w:val="34"/>
    <w:qFormat/>
    <w:rsid w:val="00A3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2019-12-26T07:17:00Z</dcterms:created>
  <dcterms:modified xsi:type="dcterms:W3CDTF">2020-01-20T13:20:00Z</dcterms:modified>
</cp:coreProperties>
</file>